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60C49" w14:textId="77777777" w:rsidR="009C3D0B" w:rsidRPr="009C3D0B" w:rsidRDefault="009C3D0B" w:rsidP="009C3D0B">
      <w:pPr>
        <w:snapToGrid w:val="0"/>
        <w:spacing w:before="240"/>
        <w:rPr>
          <w:b/>
          <w:bCs/>
          <w:sz w:val="32"/>
          <w:szCs w:val="40"/>
        </w:rPr>
      </w:pPr>
      <w:r w:rsidRPr="009C3D0B">
        <w:rPr>
          <w:rFonts w:hint="eastAsia"/>
          <w:b/>
          <w:bCs/>
          <w:sz w:val="32"/>
          <w:szCs w:val="40"/>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9C3D0B" w:rsidRDefault="009C3D0B" w:rsidP="009C3D0B">
      <w:pPr>
        <w:snapToGrid w:val="0"/>
        <w:spacing w:before="240"/>
        <w:rPr>
          <w:b/>
          <w:bCs/>
          <w:sz w:val="32"/>
          <w:szCs w:val="40"/>
        </w:rPr>
      </w:pPr>
      <w:r w:rsidRPr="009C3D0B">
        <w:rPr>
          <w:rFonts w:hint="eastAsia"/>
          <w:b/>
          <w:bCs/>
          <w:sz w:val="32"/>
          <w:szCs w:val="40"/>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できるようになります。貸借対照表と損益計算書などの経理資料を財務諸表といいます。</w:t>
      </w:r>
    </w:p>
    <w:p w14:paraId="610D1874" w14:textId="6EA593F5" w:rsidR="009C3D0B" w:rsidRDefault="009C3D0B">
      <w:pPr>
        <w:rPr>
          <w:sz w:val="22"/>
          <w:szCs w:val="28"/>
        </w:rPr>
      </w:pPr>
      <w:r>
        <w:rPr>
          <w:sz w:val="22"/>
          <w:szCs w:val="28"/>
        </w:rPr>
        <w:br w:type="page"/>
      </w:r>
    </w:p>
    <w:p w14:paraId="4E6FFA7F"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lastRenderedPageBreak/>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9C3D0B" w:rsidRDefault="009C3D0B" w:rsidP="009C3D0B">
      <w:pPr>
        <w:snapToGrid w:val="0"/>
        <w:spacing w:before="240"/>
        <w:rPr>
          <w:b/>
          <w:bCs/>
          <w:sz w:val="32"/>
          <w:szCs w:val="40"/>
        </w:rPr>
      </w:pPr>
      <w:r w:rsidRPr="009C3D0B">
        <w:rPr>
          <w:rFonts w:hint="eastAsia"/>
          <w:b/>
          <w:bCs/>
          <w:sz w:val="32"/>
          <w:szCs w:val="40"/>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lastRenderedPageBreak/>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C3D0B">
      <w:headerReference w:type="default" r:id="rId7"/>
      <w:pgSz w:w="11906" w:h="16838" w:code="9"/>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230D5" w14:textId="77777777" w:rsidR="007D4CC7" w:rsidRDefault="007D4CC7" w:rsidP="00847E44">
      <w:r>
        <w:separator/>
      </w:r>
    </w:p>
  </w:endnote>
  <w:endnote w:type="continuationSeparator" w:id="0">
    <w:p w14:paraId="02CD0C49" w14:textId="77777777" w:rsidR="007D4CC7" w:rsidRDefault="007D4CC7"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2C702" w14:textId="77777777" w:rsidR="007D4CC7" w:rsidRDefault="007D4CC7" w:rsidP="00847E44">
      <w:r>
        <w:separator/>
      </w:r>
    </w:p>
  </w:footnote>
  <w:footnote w:type="continuationSeparator" w:id="0">
    <w:p w14:paraId="7247DEB8" w14:textId="77777777" w:rsidR="007D4CC7" w:rsidRDefault="007D4CC7" w:rsidP="00847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5247" w14:textId="59EA7BF2" w:rsidR="00C0635E" w:rsidRDefault="00C0635E">
    <w:pPr>
      <w:pStyle w:val="ab"/>
    </w:pPr>
    <w:r>
      <w:rPr>
        <w:noProof/>
      </w:rPr>
      <mc:AlternateContent>
        <mc:Choice Requires="wps">
          <w:drawing>
            <wp:anchor distT="0" distB="0" distL="118745" distR="118745" simplePos="0" relativeHeight="251659264" behindDoc="1" locked="0" layoutInCell="1" allowOverlap="0" wp14:anchorId="13A1DAFE" wp14:editId="435B0137">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C03BD9" w14:textId="6DEF7B59" w:rsidR="00C0635E" w:rsidRDefault="00C0635E">
                          <w:pPr>
                            <w:pStyle w:val="ab"/>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Content>
                              <w:r>
                                <w:rPr>
                                  <w:rFonts w:hint="eastAsia"/>
                                  <w:caps/>
                                  <w:color w:val="FFFFFF" w:themeColor="background1"/>
                                </w:rPr>
                                <w:t>研修テキスト</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3A1DAFE" id="四角形 197" o:spid="_x0000_s1053"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156082 [3204]" stroked="f" strokeweight="1pt">
              <v:textbox style="mso-fit-shape-to-text:t">
                <w:txbxContent>
                  <w:p w14:paraId="4AC03BD9" w14:textId="6DEF7B59" w:rsidR="00C0635E" w:rsidRDefault="00C0635E">
                    <w:pPr>
                      <w:pStyle w:val="ab"/>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Content>
                        <w:r>
                          <w:rPr>
                            <w:rFonts w:hint="eastAsia"/>
                            <w:caps/>
                            <w:color w:val="FFFFFF" w:themeColor="background1"/>
                          </w:rPr>
                          <w:t>研修テキスト</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95DCE"/>
    <w:rsid w:val="001A5502"/>
    <w:rsid w:val="002711A9"/>
    <w:rsid w:val="00782540"/>
    <w:rsid w:val="00784605"/>
    <w:rsid w:val="007D4CC7"/>
    <w:rsid w:val="00847E44"/>
    <w:rsid w:val="008935EF"/>
    <w:rsid w:val="009C3D0B"/>
    <w:rsid w:val="00B65E45"/>
    <w:rsid w:val="00C0635E"/>
    <w:rsid w:val="00C61C20"/>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506</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研修テキスト</dc:title>
  <dc:subject/>
  <dc:creator>User 01</dc:creator>
  <cp:keywords/>
  <dc:description/>
  <cp:lastModifiedBy>User 01</cp:lastModifiedBy>
  <cp:revision>2</cp:revision>
  <dcterms:created xsi:type="dcterms:W3CDTF">2025-03-21T07:42:00Z</dcterms:created>
  <dcterms:modified xsi:type="dcterms:W3CDTF">2025-03-21T07:42:00Z</dcterms:modified>
</cp:coreProperties>
</file>